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b w:val="1"/>
          <w:bCs w:val="1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  <w:r>
        <w:drawing xmlns:a="http://schemas.openxmlformats.org/drawingml/2006/main">
          <wp:inline distT="0" distB="0" distL="0" distR="0">
            <wp:extent cx="1905000" cy="1905000"/>
            <wp:effectExtent l="0" t="0" r="0" b="0"/>
            <wp:docPr id="1073741827" name="officeArt object" descr="DHM-Amidor-Stickers-740p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HM-Amidor-Stickers-740px.jpg" descr="DHM-Amidor-Stickers-740px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jc w:val="center"/>
        <w:rPr>
          <w:rStyle w:val="Aucun"/>
          <w:b w:val="1"/>
          <w:bCs w:val="1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Corps"/>
        <w:jc w:val="center"/>
        <w:rPr>
          <w:rStyle w:val="Aucun"/>
          <w:b w:val="1"/>
          <w:bCs w:val="1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b w:val="1"/>
          <w:bCs w:val="1"/>
          <w:outline w:val="0"/>
          <w:color w:val="c0000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LA CHARTE DHM </w:t>
      </w:r>
      <w:r>
        <w:rPr>
          <w:rStyle w:val="Aucun"/>
          <w:b w:val="1"/>
          <w:bCs w:val="1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« </w:t>
      </w:r>
      <w:r>
        <w:rPr>
          <w:rStyle w:val="Aucun"/>
          <w:b w:val="1"/>
          <w:bCs w:val="1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d</w:t>
      </w:r>
      <w:r>
        <w:rPr>
          <w:rStyle w:val="Aucun"/>
          <w:b w:val="1"/>
          <w:bCs w:val="1"/>
          <w:outline w:val="0"/>
          <w:color w:val="c0000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samor</w:t>
      </w:r>
      <w:r>
        <w:rPr>
          <w:rStyle w:val="Aucun"/>
          <w:b w:val="1"/>
          <w:bCs w:val="1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ç</w:t>
      </w:r>
      <w:r>
        <w:rPr>
          <w:rStyle w:val="Aucun"/>
          <w:b w:val="1"/>
          <w:bCs w:val="1"/>
          <w:outline w:val="0"/>
          <w:color w:val="c0000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ons le harc</w:t>
      </w:r>
      <w:r>
        <w:rPr>
          <w:rStyle w:val="Aucun"/>
          <w:b w:val="1"/>
          <w:bCs w:val="1"/>
          <w:outline w:val="0"/>
          <w:color w:val="c00000"/>
          <w:u w:color="c00000"/>
          <w:rtl w:val="0"/>
          <w:lang w:val="it-IT"/>
          <w14:textFill>
            <w14:solidFill>
              <w14:srgbClr w14:val="C00000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c0000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lement maintenant</w:t>
      </w:r>
      <w:r>
        <w:rPr>
          <w:rStyle w:val="Aucun"/>
          <w:b w:val="1"/>
          <w:bCs w:val="1"/>
          <w:outline w:val="0"/>
          <w:color w:val="c00000"/>
          <w:u w:color="c00000"/>
          <w:rtl w:val="0"/>
          <w:lang w:val="it-IT"/>
          <w14:textFill>
            <w14:solidFill>
              <w14:srgbClr w14:val="C00000"/>
            </w14:solidFill>
          </w14:textFill>
        </w:rPr>
        <w:t xml:space="preserve"> » </w:t>
      </w:r>
    </w:p>
    <w:p>
      <w:pPr>
        <w:pStyle w:val="Corps"/>
      </w:pP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Le dispositif et le label DHM sont la propri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t</w:t>
      </w:r>
      <w:r>
        <w:rPr>
          <w:rStyle w:val="Aucun"/>
          <w:b w:val="1"/>
          <w:bCs w:val="1"/>
          <w:rtl w:val="0"/>
          <w:lang w:val="fr-FR"/>
        </w:rPr>
        <w:t xml:space="preserve">é </w:t>
      </w:r>
      <w:r>
        <w:rPr>
          <w:rStyle w:val="Aucun"/>
          <w:b w:val="1"/>
          <w:bCs w:val="1"/>
          <w:rtl w:val="0"/>
          <w:lang w:val="fr-FR"/>
        </w:rPr>
        <w:t>intellectuelle</w:t>
      </w:r>
      <w:r>
        <w:rPr>
          <w:rStyle w:val="Aucun"/>
          <w:rtl w:val="0"/>
          <w:lang w:val="fr-FR"/>
        </w:rPr>
        <w:t xml:space="preserve"> de Marie Christine Lefebvre,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rante de la Sarl 33id centre de formation Amifor</w:t>
      </w:r>
      <w:r>
        <w:rPr>
          <w:rStyle w:val="Aucun"/>
          <w:rtl w:val="0"/>
          <w:lang w:val="fr-FR"/>
        </w:rPr>
        <w:t>®</w:t>
      </w:r>
      <w:r>
        <w:rPr>
          <w:rStyle w:val="Aucun"/>
          <w:rtl w:val="0"/>
          <w:lang w:val="fr-FR"/>
        </w:rPr>
        <w:t>.</w:t>
      </w:r>
    </w:p>
    <w:p>
      <w:pPr>
        <w:pStyle w:val="Corps"/>
      </w:pP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DHM incombe au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 form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b w:val="1"/>
          <w:bCs w:val="1"/>
          <w:rtl w:val="0"/>
          <w:lang w:val="fr-FR"/>
        </w:rPr>
        <w:t>de prendre en charge autant la victime que l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 xml:space="preserve">intimidateur </w:t>
      </w:r>
      <w:r>
        <w:rPr>
          <w:rStyle w:val="Aucun"/>
          <w:rtl w:val="0"/>
          <w:lang w:val="fr-FR"/>
        </w:rPr>
        <w:t>dans le processus de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vention et de restauration.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DHM en tant que label s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 xml:space="preserve">inscrit dans les objectifs </w:t>
      </w:r>
      <w:r>
        <w:rPr>
          <w:rStyle w:val="Aucun"/>
          <w:b w:val="1"/>
          <w:bCs w:val="1"/>
          <w:rtl w:val="0"/>
          <w:lang w:val="fr-FR"/>
        </w:rPr>
        <w:t>« </w:t>
      </w:r>
      <w:r>
        <w:rPr>
          <w:rStyle w:val="Aucun"/>
          <w:b w:val="1"/>
          <w:bCs w:val="1"/>
          <w:rtl w:val="0"/>
          <w:lang w:val="fr-FR"/>
        </w:rPr>
        <w:t>parcours du citoyen</w:t>
      </w:r>
      <w:r>
        <w:rPr>
          <w:rStyle w:val="Aucun"/>
          <w:b w:val="1"/>
          <w:bCs w:val="1"/>
          <w:rtl w:val="0"/>
          <w:lang w:val="fr-FR"/>
        </w:rPr>
        <w:t xml:space="preserve"> » </w:t>
      </w:r>
      <w:r>
        <w:rPr>
          <w:rStyle w:val="Aucun"/>
          <w:b w:val="1"/>
          <w:bCs w:val="1"/>
          <w:rtl w:val="0"/>
          <w:lang w:val="fr-FR"/>
        </w:rPr>
        <w:t>et de l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acquisition de comp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tences psycho sociales</w:t>
      </w:r>
      <w:r>
        <w:rPr>
          <w:rStyle w:val="Aucun"/>
          <w:rtl w:val="0"/>
          <w:lang w:val="fr-FR"/>
        </w:rPr>
        <w:t xml:space="preserve"> . Les outils et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thodes propos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s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appuient sur la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thode Pikas, la CNV et le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veloppement de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empathie comme piliers  et objectifs de formation des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rents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Le label n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est acquis</w:t>
      </w:r>
      <w:r>
        <w:rPr>
          <w:rStyle w:val="Aucun"/>
          <w:rtl w:val="0"/>
          <w:lang w:val="fr-FR"/>
        </w:rPr>
        <w:t xml:space="preserve"> par un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tablissement form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ad hoc ou un groupe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rents constitu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sur un territoire </w:t>
      </w:r>
      <w:r>
        <w:rPr>
          <w:rStyle w:val="Aucun"/>
          <w:b w:val="1"/>
          <w:bCs w:val="1"/>
          <w:rtl w:val="0"/>
          <w:lang w:val="fr-FR"/>
        </w:rPr>
        <w:t>qu</w:t>
      </w:r>
      <w:r>
        <w:rPr>
          <w:rStyle w:val="Aucun"/>
          <w:b w:val="1"/>
          <w:bCs w:val="1"/>
          <w:rtl w:val="0"/>
          <w:lang w:val="fr-FR"/>
        </w:rPr>
        <w:t xml:space="preserve">’à </w:t>
      </w:r>
      <w:r>
        <w:rPr>
          <w:rStyle w:val="Aucun"/>
          <w:b w:val="1"/>
          <w:bCs w:val="1"/>
          <w:rtl w:val="0"/>
          <w:lang w:val="fr-FR"/>
        </w:rPr>
        <w:t>la condition de validation de l</w:t>
      </w:r>
      <w:r>
        <w:rPr>
          <w:rStyle w:val="Aucun"/>
          <w:b w:val="1"/>
          <w:bCs w:val="1"/>
          <w:rtl w:val="0"/>
          <w:lang w:val="fr-FR"/>
        </w:rPr>
        <w:t>’é</w:t>
      </w:r>
      <w:r>
        <w:rPr>
          <w:rStyle w:val="Aucun"/>
          <w:b w:val="1"/>
          <w:bCs w:val="1"/>
          <w:rtl w:val="0"/>
          <w:lang w:val="fr-FR"/>
        </w:rPr>
        <w:t>valuation soumise</w:t>
      </w:r>
      <w:r>
        <w:rPr>
          <w:rStyle w:val="Aucun"/>
          <w:rtl w:val="0"/>
          <w:lang w:val="fr-FR"/>
        </w:rPr>
        <w:t xml:space="preserve"> par les formateurs DHM sous forme d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tudes de cas, annex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grille de crit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res auxquels le(s) stagiaire(s) doit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pondre.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Tout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tablissement ou groupe territorial pourra </w:t>
      </w:r>
      <w:r>
        <w:rPr>
          <w:rStyle w:val="Aucun"/>
          <w:b w:val="1"/>
          <w:bCs w:val="1"/>
          <w:rtl w:val="0"/>
          <w:lang w:val="fr-FR"/>
        </w:rPr>
        <w:t>afficher le logo DHM</w:t>
      </w:r>
      <w:r>
        <w:rPr>
          <w:rStyle w:val="Aucun"/>
          <w:rtl w:val="0"/>
          <w:lang w:val="fr-FR"/>
        </w:rPr>
        <w:t xml:space="preserve"> sur ses documents de communication internes et externes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seule condition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obtention de la validation.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 xml:space="preserve">Suite </w:t>
      </w:r>
      <w:r>
        <w:rPr>
          <w:rStyle w:val="Aucun"/>
          <w:b w:val="1"/>
          <w:bCs w:val="1"/>
          <w:rtl w:val="0"/>
          <w:lang w:val="fr-FR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l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obtention</w:t>
      </w:r>
      <w:r>
        <w:rPr>
          <w:rStyle w:val="Aucun"/>
          <w:rtl w:val="0"/>
          <w:lang w:val="fr-FR"/>
        </w:rPr>
        <w:t xml:space="preserve"> par un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tablissement ou un groupe territorial </w:t>
      </w:r>
      <w:r>
        <w:rPr>
          <w:rStyle w:val="Aucun"/>
          <w:b w:val="1"/>
          <w:bCs w:val="1"/>
          <w:rtl w:val="0"/>
          <w:lang w:val="fr-FR"/>
        </w:rPr>
        <w:t>du label DHM</w:t>
      </w:r>
      <w:r>
        <w:rPr>
          <w:rStyle w:val="Aucun"/>
          <w:rtl w:val="0"/>
          <w:lang w:val="fr-FR"/>
        </w:rPr>
        <w:t xml:space="preserve"> ce dernier se voit octroyer la possibilit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obtenir aupr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du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seau DHM des conseils post-formation en cas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incertitude sur la fa</w:t>
      </w:r>
      <w:r>
        <w:rPr>
          <w:rStyle w:val="Aucun"/>
          <w:rtl w:val="0"/>
          <w:lang w:val="fr-FR"/>
        </w:rPr>
        <w:t>ç</w:t>
      </w:r>
      <w:r>
        <w:rPr>
          <w:rStyle w:val="Aucun"/>
          <w:rtl w:val="0"/>
          <w:lang w:val="fr-FR"/>
        </w:rPr>
        <w:t>on de proc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der face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une situation donn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e. 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Chacun des formateurs du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seau DHM est lui-m</w:t>
      </w:r>
      <w:r>
        <w:rPr>
          <w:rStyle w:val="Aucun"/>
          <w:b w:val="1"/>
          <w:bCs w:val="1"/>
          <w:rtl w:val="0"/>
          <w:lang w:val="fr-FR"/>
        </w:rPr>
        <w:t>ê</w:t>
      </w:r>
      <w:r>
        <w:rPr>
          <w:rStyle w:val="Aucun"/>
          <w:b w:val="1"/>
          <w:bCs w:val="1"/>
          <w:rtl w:val="0"/>
          <w:lang w:val="fr-FR"/>
        </w:rPr>
        <w:t>me valid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 par ce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seau et son chef de fil (form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aux diff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rentes techniques et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thodes utilis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es) comme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tant autoris</w:t>
      </w:r>
      <w:r>
        <w:rPr>
          <w:rStyle w:val="Aucun"/>
          <w:rtl w:val="0"/>
          <w:lang w:val="fr-FR"/>
        </w:rPr>
        <w:t xml:space="preserve">é à </w:t>
      </w:r>
      <w:r>
        <w:rPr>
          <w:rStyle w:val="Aucun"/>
          <w:rtl w:val="0"/>
          <w:lang w:val="fr-FR"/>
        </w:rPr>
        <w:t>dispenser les formations DHM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Lors de la dispense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un dispositif DHM, </w:t>
      </w:r>
      <w:r>
        <w:rPr>
          <w:rStyle w:val="Aucun"/>
          <w:b w:val="1"/>
          <w:bCs w:val="1"/>
          <w:rtl w:val="0"/>
          <w:lang w:val="fr-FR"/>
        </w:rPr>
        <w:t>les formateurs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sign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s adoptent une posture et un langage (s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mantique) commun</w:t>
      </w:r>
      <w:r>
        <w:rPr>
          <w:rStyle w:val="Aucun"/>
          <w:rtl w:val="0"/>
          <w:lang w:val="fr-FR"/>
        </w:rPr>
        <w:t xml:space="preserve"> que le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seau aura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alablement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fini dans un </w:t>
      </w:r>
      <w:r>
        <w:rPr>
          <w:rStyle w:val="Aucun"/>
          <w:rtl w:val="0"/>
          <w:lang w:val="fr-FR"/>
        </w:rPr>
        <w:t>« </w:t>
      </w:r>
      <w:r>
        <w:rPr>
          <w:rStyle w:val="Aucun"/>
          <w:rtl w:val="0"/>
          <w:lang w:val="fr-FR"/>
        </w:rPr>
        <w:t>lexique</w:t>
      </w:r>
      <w:r>
        <w:rPr>
          <w:rStyle w:val="Aucun"/>
          <w:rtl w:val="0"/>
          <w:lang w:val="fr-FR"/>
        </w:rPr>
        <w:t> »</w:t>
      </w:r>
      <w:r>
        <w:rPr>
          <w:rStyle w:val="Aucun"/>
          <w:rtl w:val="0"/>
          <w:lang w:val="fr-FR"/>
        </w:rPr>
        <w:t>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Tout membre du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seau DHM</w:t>
      </w:r>
      <w:r>
        <w:rPr>
          <w:rStyle w:val="Aucun"/>
          <w:rtl w:val="0"/>
          <w:lang w:val="fr-FR"/>
        </w:rPr>
        <w:t xml:space="preserve"> (formateur, psychologue), </w:t>
      </w:r>
      <w:r>
        <w:rPr>
          <w:rStyle w:val="Aucun"/>
          <w:b w:val="1"/>
          <w:bCs w:val="1"/>
          <w:rtl w:val="0"/>
          <w:lang w:val="fr-FR"/>
        </w:rPr>
        <w:t>pourra avec l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accord d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Amifor intervenir sous son propre nom aupr</w:t>
      </w:r>
      <w:r>
        <w:rPr>
          <w:rStyle w:val="Aucun"/>
          <w:b w:val="1"/>
          <w:bCs w:val="1"/>
          <w:rtl w:val="0"/>
          <w:lang w:val="fr-FR"/>
        </w:rPr>
        <w:t>è</w:t>
      </w:r>
      <w:r>
        <w:rPr>
          <w:rStyle w:val="Aucun"/>
          <w:b w:val="1"/>
          <w:bCs w:val="1"/>
          <w:rtl w:val="0"/>
          <w:lang w:val="fr-FR"/>
        </w:rPr>
        <w:t>s d</w:t>
      </w:r>
      <w:r>
        <w:rPr>
          <w:rStyle w:val="Aucun"/>
          <w:b w:val="1"/>
          <w:bCs w:val="1"/>
          <w:rtl w:val="0"/>
          <w:lang w:val="fr-FR"/>
        </w:rPr>
        <w:t>’é</w:t>
      </w:r>
      <w:r>
        <w:rPr>
          <w:rStyle w:val="Aucun"/>
          <w:b w:val="1"/>
          <w:bCs w:val="1"/>
          <w:rtl w:val="0"/>
          <w:lang w:val="fr-FR"/>
        </w:rPr>
        <w:t>l</w:t>
      </w:r>
      <w:r>
        <w:rPr>
          <w:rStyle w:val="Aucun"/>
          <w:b w:val="1"/>
          <w:bCs w:val="1"/>
          <w:rtl w:val="0"/>
          <w:lang w:val="fr-FR"/>
        </w:rPr>
        <w:t>è</w:t>
      </w:r>
      <w:r>
        <w:rPr>
          <w:rStyle w:val="Aucun"/>
          <w:b w:val="1"/>
          <w:bCs w:val="1"/>
          <w:rtl w:val="0"/>
          <w:lang w:val="fr-FR"/>
        </w:rPr>
        <w:t>ve(s)</w:t>
      </w:r>
      <w:r>
        <w:rPr>
          <w:rStyle w:val="Aucun"/>
          <w:rtl w:val="0"/>
          <w:lang w:val="fr-FR"/>
        </w:rPr>
        <w:t xml:space="preserve"> et dans les conditions qu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il jugera opportun et selon son statut aupr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de toute structure ayant obtenu le label et s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tant de ce fait adress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au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seau pour obtenir cette aide. Toute intervention autre demand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par un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tablissement (ou une structure territoriale) non form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DHM  ne se fera qu</w:t>
      </w:r>
      <w:r>
        <w:rPr>
          <w:rStyle w:val="Aucun"/>
          <w:rtl w:val="0"/>
          <w:lang w:val="fr-FR"/>
        </w:rPr>
        <w:t xml:space="preserve">’à </w:t>
      </w:r>
      <w:r>
        <w:rPr>
          <w:rStyle w:val="Aucun"/>
          <w:rtl w:val="0"/>
          <w:lang w:val="fr-FR"/>
        </w:rPr>
        <w:t>la condition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 engagement sur la dispense du dispositif aupr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de futurs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rents. 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Le label DHM et le dispositif ad hoc</w:t>
      </w:r>
      <w:r>
        <w:rPr>
          <w:rStyle w:val="Aucun"/>
          <w:rtl w:val="0"/>
          <w:lang w:val="fr-FR"/>
        </w:rPr>
        <w:t xml:space="preserve"> se laissent un droit d</w:t>
      </w:r>
      <w:r>
        <w:rPr>
          <w:rStyle w:val="Aucun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volution</w:t>
      </w:r>
      <w:r>
        <w:rPr>
          <w:rStyle w:val="Aucun"/>
          <w:rtl w:val="0"/>
          <w:lang w:val="fr-FR"/>
        </w:rPr>
        <w:t xml:space="preserve"> et d</w:t>
      </w:r>
      <w:r>
        <w:rPr>
          <w:rStyle w:val="Aucun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 xml:space="preserve">adaptation </w:t>
      </w:r>
      <w:r>
        <w:rPr>
          <w:rStyle w:val="Aucun"/>
          <w:rtl w:val="0"/>
          <w:lang w:val="fr-FR"/>
        </w:rPr>
        <w:t>dans le temps.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"/>
      <w:jc w:val="center"/>
      <w:rPr>
        <w:rStyle w:val="Aucun"/>
        <w:outline w:val="0"/>
        <w:color w:val="0d0d0d"/>
        <w:sz w:val="18"/>
        <w:szCs w:val="18"/>
        <w:u w:color="0d0d0d"/>
        <w14:textFill>
          <w14:solidFill>
            <w14:srgbClr w14:val="0D0D0D"/>
          </w14:solidFill>
        </w14:textFill>
      </w:rPr>
    </w:pPr>
    <w:r>
      <w:rPr>
        <w:rStyle w:val="Aucun"/>
        <w:outline w:val="0"/>
        <w:color w:val="0d0d0d"/>
        <w:sz w:val="18"/>
        <w:szCs w:val="18"/>
        <w:u w:color="0d0d0d"/>
        <w:rtl w:val="0"/>
        <w:lang w:val="fr-FR"/>
        <w14:textFill>
          <w14:solidFill>
            <w14:srgbClr w14:val="0D0D0D"/>
          </w14:solidFill>
        </w14:textFill>
      </w:rPr>
      <w:t>33id AMIFOR - Adresse : 1 rue des Cultivateurs 14840 CUVERVILLE</w:t>
    </w:r>
  </w:p>
  <w:p>
    <w:pPr>
      <w:pStyle w:val="Corps"/>
      <w:tabs>
        <w:tab w:val="center" w:pos="4153"/>
        <w:tab w:val="right" w:pos="8306"/>
      </w:tabs>
      <w:jc w:val="center"/>
      <w:rPr>
        <w:rStyle w:val="Aucun"/>
        <w:outline w:val="0"/>
        <w:color w:val="0d0d0d"/>
        <w:sz w:val="18"/>
        <w:szCs w:val="18"/>
        <w:u w:color="0d0d0d"/>
        <w14:textFill>
          <w14:solidFill>
            <w14:srgbClr w14:val="0D0D0D"/>
          </w14:solidFill>
        </w14:textFill>
      </w:rPr>
    </w:pPr>
    <w:r>
      <w:rPr>
        <w:rStyle w:val="Aucun"/>
        <w:outline w:val="0"/>
        <w:color w:val="0d0d0d"/>
        <w:sz w:val="18"/>
        <w:szCs w:val="18"/>
        <w:u w:color="0d0d0d"/>
        <w:rtl w:val="0"/>
        <w14:textFill>
          <w14:solidFill>
            <w14:srgbClr w14:val="0D0D0D"/>
          </w14:solidFill>
        </w14:textFill>
      </w:rPr>
      <w:t>T</w:t>
    </w:r>
    <w:r>
      <w:rPr>
        <w:rStyle w:val="Aucun"/>
        <w:outline w:val="0"/>
        <w:color w:val="0d0d0d"/>
        <w:sz w:val="18"/>
        <w:szCs w:val="18"/>
        <w:u w:color="0d0d0d"/>
        <w:rtl w:val="0"/>
        <w:lang w:val="fr-FR"/>
        <w14:textFill>
          <w14:solidFill>
            <w14:srgbClr w14:val="0D0D0D"/>
          </w14:solidFill>
        </w14:textFill>
      </w:rPr>
      <w:t>é</w:t>
    </w:r>
    <w:r>
      <w:rPr>
        <w:rStyle w:val="Aucun"/>
        <w:outline w:val="0"/>
        <w:color w:val="0d0d0d"/>
        <w:sz w:val="18"/>
        <w:szCs w:val="18"/>
        <w:u w:color="0d0d0d"/>
        <w:rtl w:val="0"/>
        <w14:textFill>
          <w14:solidFill>
            <w14:srgbClr w14:val="0D0D0D"/>
          </w14:solidFill>
        </w14:textFill>
      </w:rPr>
      <w:t>l</w:t>
    </w:r>
    <w:r>
      <w:rPr>
        <w:rStyle w:val="Aucun"/>
        <w:outline w:val="0"/>
        <w:color w:val="0d0d0d"/>
        <w:sz w:val="18"/>
        <w:szCs w:val="18"/>
        <w:u w:color="0d0d0d"/>
        <w:rtl w:val="0"/>
        <w:lang w:val="fr-FR"/>
        <w14:textFill>
          <w14:solidFill>
            <w14:srgbClr w14:val="0D0D0D"/>
          </w14:solidFill>
        </w14:textFill>
      </w:rPr>
      <w:t>é</w:t>
    </w:r>
    <w:r>
      <w:rPr>
        <w:rStyle w:val="Aucun"/>
        <w:outline w:val="0"/>
        <w:color w:val="0d0d0d"/>
        <w:sz w:val="18"/>
        <w:szCs w:val="18"/>
        <w:u w:color="0d0d0d"/>
        <w:rtl w:val="0"/>
        <w:lang w:val="fr-FR"/>
        <w14:textFill>
          <w14:solidFill>
            <w14:srgbClr w14:val="0D0D0D"/>
          </w14:solidFill>
        </w14:textFill>
      </w:rPr>
      <w:t>phone : 02 31 53 03 20 - Courriel</w:t>
    </w:r>
    <w:r>
      <w:rPr>
        <w:rStyle w:val="Aucun"/>
        <w:outline w:val="0"/>
        <w:color w:val="0d0d0d"/>
        <w:sz w:val="18"/>
        <w:szCs w:val="18"/>
        <w:u w:color="0d0d0d"/>
        <w:rtl w:val="0"/>
        <w:lang w:val="fr-FR"/>
        <w14:textFill>
          <w14:solidFill>
            <w14:srgbClr w14:val="0D0D0D"/>
          </w14:solidFill>
        </w14:textFill>
      </w:rPr>
      <w:t> </w:t>
    </w:r>
    <w:r>
      <w:rPr>
        <w:rStyle w:val="Aucun"/>
        <w:outline w:val="0"/>
        <w:color w:val="0d0d0d"/>
        <w:sz w:val="18"/>
        <w:szCs w:val="18"/>
        <w:u w:color="0d0d0d"/>
        <w:rtl w:val="0"/>
        <w:lang w:val="it-IT"/>
        <w14:textFill>
          <w14:solidFill>
            <w14:srgbClr w14:val="0D0D0D"/>
          </w14:solidFill>
        </w14:textFill>
      </w:rPr>
      <w:t>: amifor@33id.fr</w:t>
    </w:r>
  </w:p>
  <w:p>
    <w:pPr>
      <w:pStyle w:val="Corps"/>
      <w:tabs>
        <w:tab w:val="center" w:pos="4153"/>
        <w:tab w:val="right" w:pos="8306"/>
      </w:tabs>
      <w:jc w:val="center"/>
    </w:pPr>
    <w:r>
      <w:rPr>
        <w:rStyle w:val="Aucun"/>
        <w:outline w:val="0"/>
        <w:color w:val="0d0d0d"/>
        <w:sz w:val="18"/>
        <w:szCs w:val="18"/>
        <w:u w:color="0d0d0d"/>
        <w:rtl w:val="0"/>
        <w14:textFill>
          <w14:solidFill>
            <w14:srgbClr w14:val="0D0D0D"/>
          </w14:solidFill>
        </w14:textFill>
      </w:rPr>
      <w:t>n</w:t>
    </w:r>
    <w:r>
      <w:rPr>
        <w:rStyle w:val="Aucun"/>
        <w:outline w:val="0"/>
        <w:color w:val="0d0d0d"/>
        <w:sz w:val="18"/>
        <w:szCs w:val="18"/>
        <w:u w:color="0d0d0d"/>
        <w:rtl w:val="0"/>
        <w:lang w:val="fr-FR"/>
        <w14:textFill>
          <w14:solidFill>
            <w14:srgbClr w14:val="0D0D0D"/>
          </w14:solidFill>
        </w14:textFill>
      </w:rPr>
      <w:t xml:space="preserve">° </w:t>
    </w:r>
    <w:r>
      <w:rPr>
        <w:rStyle w:val="Aucun"/>
        <w:outline w:val="0"/>
        <w:color w:val="0d0d0d"/>
        <w:sz w:val="18"/>
        <w:szCs w:val="18"/>
        <w:u w:color="0d0d0d"/>
        <w:rtl w:val="0"/>
        <w:lang w:val="nl-NL"/>
        <w14:textFill>
          <w14:solidFill>
            <w14:srgbClr w14:val="0D0D0D"/>
          </w14:solidFill>
        </w14:textFill>
      </w:rPr>
      <w:t xml:space="preserve">Siren : 751943317 - NDA 25140257614 - </w:t>
    </w:r>
    <w:r>
      <w:rPr>
        <w:rStyle w:val="Aucun"/>
        <w:b w:val="1"/>
        <w:bCs w:val="1"/>
        <w:sz w:val="18"/>
        <w:szCs w:val="18"/>
        <w:rtl w:val="0"/>
        <w:lang w:val="fr-FR"/>
      </w:rPr>
      <w:t>Certifi</w:t>
    </w:r>
    <w:r>
      <w:rPr>
        <w:rStyle w:val="Aucun"/>
        <w:b w:val="1"/>
        <w:bCs w:val="1"/>
        <w:sz w:val="18"/>
        <w:szCs w:val="18"/>
        <w:rtl w:val="0"/>
        <w:lang w:val="fr-FR"/>
      </w:rPr>
      <w:t xml:space="preserve">é </w:t>
    </w:r>
    <w:r>
      <w:rPr>
        <w:rStyle w:val="Aucun"/>
        <w:b w:val="1"/>
        <w:bCs w:val="1"/>
        <w:sz w:val="18"/>
        <w:szCs w:val="18"/>
        <w:rtl w:val="0"/>
      </w:rPr>
      <w:t>Qualiopi</w:t>
    </w:r>
    <w:r>
      <w:rPr>
        <w:rStyle w:val="Aucun"/>
        <w:sz w:val="18"/>
        <w:szCs w:val="18"/>
        <w:rtl w:val="0"/>
      </w:rPr>
      <w:t xml:space="preserve"> </w:t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1667509</wp:posOffset>
          </wp:positionH>
          <wp:positionV relativeFrom="page">
            <wp:posOffset>18654394</wp:posOffset>
          </wp:positionV>
          <wp:extent cx="838200" cy="208280"/>
          <wp:effectExtent l="0" t="0" r="0" b="0"/>
          <wp:wrapNone/>
          <wp:docPr id="1073741825" name="officeArt object" descr="Accue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cueil" descr="Accueil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2082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993139</wp:posOffset>
          </wp:positionH>
          <wp:positionV relativeFrom="page">
            <wp:posOffset>10022204</wp:posOffset>
          </wp:positionV>
          <wp:extent cx="457200" cy="457200"/>
          <wp:effectExtent l="0" t="0" r="0" b="0"/>
          <wp:wrapNone/>
          <wp:docPr id="1073741826" name="officeArt object" descr="Logo Amifor-33i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Amifor-33id" descr="Logo Amifor-33id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upperRoman"/>
      <w:suff w:val="tab"/>
      <w:lvlText w:val="%1."/>
      <w:lvlJc w:val="left"/>
      <w:pPr>
        <w:ind w:left="7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